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4C" w:rsidRDefault="00E1284C" w:rsidP="00E1284C">
      <w:pPr>
        <w:pStyle w:val="Default"/>
      </w:pPr>
    </w:p>
    <w:p w:rsidR="00E1284C" w:rsidRDefault="00E1284C" w:rsidP="00E1284C">
      <w:pPr>
        <w:pStyle w:val="Default"/>
      </w:pPr>
      <w:r>
        <w:t xml:space="preserve"> </w:t>
      </w:r>
    </w:p>
    <w:p w:rsidR="00E1284C" w:rsidRDefault="00E1284C" w:rsidP="00E1284C">
      <w:pPr>
        <w:pStyle w:val="Default"/>
      </w:pPr>
    </w:p>
    <w:p w:rsidR="00AC1891" w:rsidRDefault="001D72DC" w:rsidP="00196E6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MANUAL </w:t>
      </w:r>
      <w:r w:rsidR="00E1284C" w:rsidRPr="006649E2">
        <w:rPr>
          <w:b/>
          <w:bCs/>
        </w:rPr>
        <w:t xml:space="preserve">PROYECTOS </w:t>
      </w:r>
      <w:r>
        <w:rPr>
          <w:b/>
          <w:bCs/>
        </w:rPr>
        <w:t>– (R8)</w:t>
      </w:r>
    </w:p>
    <w:p w:rsidR="001D72DC" w:rsidRDefault="00AC1891" w:rsidP="00196E67">
      <w:pPr>
        <w:pStyle w:val="Default"/>
        <w:jc w:val="both"/>
        <w:rPr>
          <w:b/>
          <w:bCs/>
        </w:rPr>
      </w:pPr>
      <w:r>
        <w:rPr>
          <w:b/>
          <w:bCs/>
        </w:rPr>
        <w:t>PROYECTO DE INVESTIGACION PLURIANUAL (PIP) /  PROYECTO DE UNIDAD EJECUTORA (PUE).</w:t>
      </w:r>
    </w:p>
    <w:p w:rsidR="00AC1891" w:rsidRDefault="00AC1891" w:rsidP="00196E67">
      <w:pPr>
        <w:pStyle w:val="Default"/>
        <w:jc w:val="both"/>
        <w:rPr>
          <w:b/>
          <w:bCs/>
        </w:rPr>
      </w:pPr>
    </w:p>
    <w:p w:rsidR="00610536" w:rsidRPr="006649E2" w:rsidRDefault="00E1284C" w:rsidP="00196E67">
      <w:pPr>
        <w:pStyle w:val="Default"/>
        <w:jc w:val="both"/>
      </w:pPr>
      <w:r w:rsidRPr="006649E2">
        <w:t>El objetivo de este financiamiento es cubrir parcialmente gastos inherentes a los trabajos de investigación y desarrollo de los investigadores de CONICET</w:t>
      </w:r>
      <w:r w:rsidR="00E40F9D">
        <w:t xml:space="preserve"> como así también del Proyecto de Unidad Ejecutora</w:t>
      </w:r>
    </w:p>
    <w:p w:rsidR="00E1284C" w:rsidRPr="006649E2" w:rsidRDefault="00E1284C" w:rsidP="00196E67">
      <w:pPr>
        <w:pStyle w:val="Default"/>
        <w:jc w:val="both"/>
      </w:pPr>
      <w:r w:rsidRPr="006649E2">
        <w:rPr>
          <w:b/>
          <w:bCs/>
        </w:rPr>
        <w:t xml:space="preserve">El CONICET financiara los gastos corrientes de funcionamiento que se indican a continuación, según expresa resolución. Los mismos incluyen: </w:t>
      </w:r>
    </w:p>
    <w:p w:rsidR="00E1284C" w:rsidRPr="006649E2" w:rsidRDefault="00E1284C" w:rsidP="00196E67">
      <w:pPr>
        <w:pStyle w:val="Default"/>
        <w:jc w:val="both"/>
      </w:pPr>
    </w:p>
    <w:p w:rsidR="00E1284C" w:rsidRDefault="00E1284C" w:rsidP="00196E67">
      <w:pPr>
        <w:pStyle w:val="Default"/>
        <w:numPr>
          <w:ilvl w:val="0"/>
          <w:numId w:val="1"/>
        </w:numPr>
        <w:jc w:val="both"/>
      </w:pPr>
      <w:r w:rsidRPr="00380203">
        <w:rPr>
          <w:b/>
        </w:rPr>
        <w:t>Bienes de consumo</w:t>
      </w:r>
      <w:r w:rsidRPr="006649E2">
        <w:t xml:space="preserve">: Son los materiales y suministros consumibles para el desarrollo del Proyecto. Ejemplos: art. de librería, art. de limpieza, y repuestos menores de computación que no prolonguen la vida útil del bien de capital o aumento sustancialmente el valor del equipo (plaqueta de memoria, disco rígido, mouse, teclado, etc.), pen </w:t>
      </w:r>
      <w:proofErr w:type="spellStart"/>
      <w:r w:rsidRPr="006649E2">
        <w:t>drives</w:t>
      </w:r>
      <w:proofErr w:type="gramStart"/>
      <w:r w:rsidRPr="006649E2">
        <w:t>,correo</w:t>
      </w:r>
      <w:proofErr w:type="spellEnd"/>
      <w:proofErr w:type="gramEnd"/>
      <w:r w:rsidRPr="006649E2">
        <w:t>, fotocopias, etc.</w:t>
      </w:r>
    </w:p>
    <w:p w:rsidR="00380203" w:rsidRDefault="00380203" w:rsidP="00196E67">
      <w:pPr>
        <w:pStyle w:val="Default"/>
        <w:jc w:val="both"/>
      </w:pPr>
    </w:p>
    <w:p w:rsidR="00380203" w:rsidRDefault="00380203" w:rsidP="00196E67">
      <w:pPr>
        <w:pStyle w:val="Default"/>
        <w:numPr>
          <w:ilvl w:val="0"/>
          <w:numId w:val="1"/>
        </w:numPr>
        <w:jc w:val="both"/>
      </w:pPr>
      <w:r w:rsidRPr="00380203">
        <w:rPr>
          <w:b/>
        </w:rPr>
        <w:t>Servicios Básicos</w:t>
      </w:r>
      <w:r>
        <w:t>: en este rubro pueden ir los gastos por envío de correspondencia postal</w:t>
      </w:r>
      <w:r w:rsidR="00196E67">
        <w:t>, como así también el Impuesto País por gastos en el exterior con tarjeta de crédito. Para este pago deben presentar copia del extracto donde conste el cobro del impuesto.</w:t>
      </w:r>
    </w:p>
    <w:p w:rsidR="006649E2" w:rsidRPr="006649E2" w:rsidRDefault="006649E2" w:rsidP="00196E67">
      <w:pPr>
        <w:pStyle w:val="Default"/>
        <w:ind w:left="720"/>
        <w:jc w:val="both"/>
      </w:pPr>
    </w:p>
    <w:p w:rsidR="00E1284C" w:rsidRDefault="001450B2" w:rsidP="00196E67">
      <w:pPr>
        <w:pStyle w:val="Default"/>
        <w:numPr>
          <w:ilvl w:val="0"/>
          <w:numId w:val="1"/>
        </w:numPr>
        <w:jc w:val="both"/>
      </w:pPr>
      <w:r w:rsidRPr="00380203">
        <w:rPr>
          <w:b/>
        </w:rPr>
        <w:t>Serv</w:t>
      </w:r>
      <w:r w:rsidR="00380203" w:rsidRPr="00380203">
        <w:rPr>
          <w:b/>
        </w:rPr>
        <w:t>icios de terceros no personales</w:t>
      </w:r>
      <w:r w:rsidR="00380203">
        <w:t>:</w:t>
      </w:r>
      <w:r w:rsidRPr="006649E2">
        <w:t xml:space="preserve"> correcciones de estilo, </w:t>
      </w:r>
      <w:proofErr w:type="spellStart"/>
      <w:r w:rsidRPr="006649E2">
        <w:t>desgrabaciones</w:t>
      </w:r>
      <w:proofErr w:type="spellEnd"/>
      <w:r w:rsidRPr="006649E2">
        <w:t xml:space="preserve"> de entrevistas, publicaciones de trabajos, servicios de: diseño gráfico, armado de informes, trabajos específicos con base de datos. Estas tareas son por única vez. Es decir, no se debe tener </w:t>
      </w:r>
      <w:proofErr w:type="spellStart"/>
      <w:r w:rsidRPr="006649E2">
        <w:t>mensualizada</w:t>
      </w:r>
      <w:proofErr w:type="spellEnd"/>
      <w:r w:rsidRPr="006649E2">
        <w:t xml:space="preserve"> a la persona prestadora del servicio. Sólo pueden cobrar las personas externas al proyecto.</w:t>
      </w:r>
    </w:p>
    <w:p w:rsidR="00380203" w:rsidRDefault="00380203" w:rsidP="00196E67">
      <w:pPr>
        <w:pStyle w:val="ListParagraph"/>
        <w:jc w:val="both"/>
      </w:pPr>
    </w:p>
    <w:p w:rsidR="00380203" w:rsidRDefault="00380203" w:rsidP="00196E67">
      <w:pPr>
        <w:pStyle w:val="Default"/>
        <w:numPr>
          <w:ilvl w:val="0"/>
          <w:numId w:val="1"/>
        </w:numPr>
        <w:jc w:val="both"/>
      </w:pPr>
      <w:r w:rsidRPr="00380203">
        <w:rPr>
          <w:b/>
        </w:rPr>
        <w:t>Gastos de mantenimiento de equipos</w:t>
      </w:r>
      <w:r>
        <w:t>: gastos de reparación y actualización de computadoras.</w:t>
      </w:r>
    </w:p>
    <w:p w:rsidR="006649E2" w:rsidRDefault="006649E2" w:rsidP="00196E67">
      <w:pPr>
        <w:pStyle w:val="ListParagraph"/>
        <w:jc w:val="both"/>
      </w:pPr>
    </w:p>
    <w:p w:rsidR="00E1284C" w:rsidRPr="006649E2" w:rsidRDefault="00E1284C" w:rsidP="00196E67">
      <w:pPr>
        <w:pStyle w:val="Default"/>
        <w:numPr>
          <w:ilvl w:val="0"/>
          <w:numId w:val="2"/>
        </w:numPr>
        <w:jc w:val="both"/>
      </w:pPr>
      <w:r w:rsidRPr="00380203">
        <w:rPr>
          <w:b/>
        </w:rPr>
        <w:t>Viajes y Viáticos:</w:t>
      </w:r>
      <w:r w:rsidRPr="006649E2">
        <w:t xml:space="preserve">  Los gastos de viajes y viáticos deberán cumplir los siguientes requisitos para ser aceptados como </w:t>
      </w:r>
      <w:r w:rsidR="00380203" w:rsidRPr="006649E2">
        <w:t>válidos</w:t>
      </w:r>
      <w:r w:rsidRPr="006649E2">
        <w:t xml:space="preserve">: </w:t>
      </w:r>
    </w:p>
    <w:p w:rsidR="00E1284C" w:rsidRPr="006649E2" w:rsidRDefault="00E1284C" w:rsidP="00196E67">
      <w:pPr>
        <w:pStyle w:val="Default"/>
        <w:spacing w:after="45"/>
        <w:ind w:left="708"/>
        <w:jc w:val="both"/>
      </w:pPr>
      <w:r w:rsidRPr="006649E2">
        <w:t xml:space="preserve">Solo podrán percibirlos las personas afectadas al proyecto (que hayan sido incorporadas en el momento de inicial del proyecto o posteriormente mediante nota al CONICET) </w:t>
      </w:r>
    </w:p>
    <w:p w:rsidR="00E1284C" w:rsidRPr="006649E2" w:rsidRDefault="00E1284C" w:rsidP="00196E67">
      <w:pPr>
        <w:pStyle w:val="Default"/>
        <w:spacing w:after="45"/>
        <w:ind w:left="708"/>
        <w:jc w:val="both"/>
      </w:pPr>
      <w:r w:rsidRPr="006649E2">
        <w:t xml:space="preserve">En el caso de viajes al exterior, tendrán que ser autorizados previamente por el CONICET, donde se detalla el motivo del viaje (se podrá adjuntar invitación a congreso, reuniones, etc.) y un monto aproximado de los fondos a utilizar, aclarando en lo posible montos a gastar en Pasajes Aéreo, Viáticos (incluye alojamiento, viáticos y traslados internos) e inscripción a Congresos. </w:t>
      </w:r>
      <w:bookmarkStart w:id="0" w:name="_GoBack"/>
      <w:bookmarkEnd w:id="0"/>
    </w:p>
    <w:p w:rsidR="00E1284C" w:rsidRPr="00E40F9D" w:rsidRDefault="00E1284C" w:rsidP="00196E67">
      <w:pPr>
        <w:pStyle w:val="Default"/>
        <w:spacing w:after="45"/>
        <w:ind w:left="708"/>
        <w:jc w:val="both"/>
        <w:rPr>
          <w:b/>
        </w:rPr>
      </w:pPr>
      <w:r w:rsidRPr="00E40F9D">
        <w:rPr>
          <w:b/>
        </w:rPr>
        <w:t xml:space="preserve">El monto para viaje al exterior no podrá superar el 20% del presupuesto total. Salvo autorización expresa de CONICET. </w:t>
      </w:r>
    </w:p>
    <w:p w:rsidR="00E1284C" w:rsidRPr="006649E2" w:rsidRDefault="00E1284C" w:rsidP="00196E67">
      <w:pPr>
        <w:pStyle w:val="Default"/>
        <w:spacing w:after="45"/>
        <w:ind w:left="708"/>
        <w:jc w:val="both"/>
      </w:pPr>
      <w:r w:rsidRPr="006649E2">
        <w:t xml:space="preserve">Viaje: Se pagará la totalidad del pasaje siempre y cuando cumpla con las siguientes condiciones: El pasaje debe estar a nombre de la persona que realiza el viaje (en el caso de </w:t>
      </w:r>
      <w:proofErr w:type="gramStart"/>
      <w:r w:rsidRPr="006649E2">
        <w:lastRenderedPageBreak/>
        <w:t>ser</w:t>
      </w:r>
      <w:proofErr w:type="gramEnd"/>
      <w:r w:rsidRPr="006649E2">
        <w:t xml:space="preserve"> un pasaje en micro de larg</w:t>
      </w:r>
      <w:r w:rsidR="001450B2" w:rsidRPr="006649E2">
        <w:t>a distancia, barco o de avión); d</w:t>
      </w:r>
      <w:r w:rsidRPr="006649E2">
        <w:t>ebe ser ori</w:t>
      </w:r>
      <w:r w:rsidR="001450B2" w:rsidRPr="006649E2">
        <w:t>ginal sin excepción, ya sea pasaje en comprobante papel o ticket electrónico</w:t>
      </w:r>
      <w:r w:rsidRPr="006649E2">
        <w:t xml:space="preserve">. En el pasaje debe figurar el monto que se pagó por el mismo. </w:t>
      </w:r>
    </w:p>
    <w:p w:rsidR="00E1284C" w:rsidRPr="006649E2" w:rsidRDefault="00E1284C" w:rsidP="00196E67">
      <w:pPr>
        <w:pStyle w:val="Default"/>
        <w:spacing w:after="89"/>
        <w:ind w:left="708"/>
        <w:jc w:val="both"/>
      </w:pPr>
      <w:r w:rsidRPr="006649E2">
        <w:t xml:space="preserve">De ser un pasaje aéreo deberá adjuntarse el ticket electrónico o de papel o factura a nombre del Director del proyecto + </w:t>
      </w:r>
      <w:proofErr w:type="spellStart"/>
      <w:r w:rsidRPr="006649E2">
        <w:t>boarging</w:t>
      </w:r>
      <w:proofErr w:type="spellEnd"/>
      <w:r w:rsidRPr="006649E2">
        <w:t xml:space="preserve"> </w:t>
      </w:r>
      <w:proofErr w:type="spellStart"/>
      <w:r w:rsidRPr="006649E2">
        <w:t>pass</w:t>
      </w:r>
      <w:proofErr w:type="spellEnd"/>
      <w:r w:rsidRPr="006649E2">
        <w:t xml:space="preserve"> de ida y vuelta. En caso de faltar el </w:t>
      </w:r>
      <w:proofErr w:type="spellStart"/>
      <w:r w:rsidRPr="006649E2">
        <w:t>boarding</w:t>
      </w:r>
      <w:proofErr w:type="spellEnd"/>
      <w:r w:rsidRPr="006649E2">
        <w:t xml:space="preserve">, fotocopia del pasaporte con la fecha de entrada y salida al país valen de igual manera. </w:t>
      </w:r>
    </w:p>
    <w:p w:rsidR="001450B2" w:rsidRPr="006649E2" w:rsidRDefault="00E1284C" w:rsidP="00196E67">
      <w:pPr>
        <w:pStyle w:val="Default"/>
        <w:spacing w:after="89"/>
        <w:ind w:left="720"/>
        <w:jc w:val="both"/>
      </w:pPr>
      <w:r w:rsidRPr="006649E2">
        <w:t xml:space="preserve">Los montos diarios de viáticos incluyen alojamiento, comestibles y traslados internos. Para esto se recibirá un monto fijo según escala vigente nacional o extranjera y se deberá firmar una DDJJ del monto recibido. </w:t>
      </w:r>
      <w:r w:rsidR="00C40940" w:rsidRPr="006649E2">
        <w:t>Si solamente se computan viáticos por el proyecto, se deberá adjuntar copia de los pasajes/</w:t>
      </w:r>
      <w:proofErr w:type="spellStart"/>
      <w:r w:rsidR="00C40940" w:rsidRPr="006649E2">
        <w:t>bording</w:t>
      </w:r>
      <w:proofErr w:type="spellEnd"/>
      <w:r w:rsidR="00C40940" w:rsidRPr="006649E2">
        <w:t xml:space="preserve"> </w:t>
      </w:r>
      <w:proofErr w:type="spellStart"/>
      <w:r w:rsidR="00C40940" w:rsidRPr="006649E2">
        <w:t>pass</w:t>
      </w:r>
      <w:proofErr w:type="spellEnd"/>
      <w:r w:rsidR="00C40940" w:rsidRPr="006649E2">
        <w:t xml:space="preserve"> y ticket alojamiento de ser posible como así también copia de la inscripción/participación en Congreso Seminario. </w:t>
      </w:r>
    </w:p>
    <w:p w:rsidR="00C40940" w:rsidRPr="006649E2" w:rsidRDefault="001450B2" w:rsidP="00196E67">
      <w:pPr>
        <w:pStyle w:val="Default"/>
        <w:spacing w:after="89"/>
        <w:ind w:left="720"/>
        <w:jc w:val="both"/>
      </w:pPr>
      <w:r w:rsidRPr="006649E2">
        <w:t>Aclaración: se pueden computar por el Proyecto, pasajes/s y no viáticos, viáticos sólo o ambas (pasaje más viático) de acuerdo a lo que solicita el/la titular del PIP</w:t>
      </w:r>
    </w:p>
    <w:p w:rsidR="00E1284C" w:rsidRDefault="00E1284C" w:rsidP="00196E67">
      <w:pPr>
        <w:pStyle w:val="Default"/>
        <w:spacing w:after="89"/>
        <w:ind w:left="720"/>
        <w:jc w:val="both"/>
      </w:pPr>
      <w:r w:rsidRPr="006649E2">
        <w:t xml:space="preserve">Los viáticos de investigadores extranjeros no necesitan autorización previa. Y el monto es el previsto por la escala vigente a nivel nacional o extranjera. </w:t>
      </w:r>
    </w:p>
    <w:p w:rsidR="00E40F9D" w:rsidRPr="006649E2" w:rsidRDefault="00E40F9D" w:rsidP="00196E67">
      <w:pPr>
        <w:pStyle w:val="Default"/>
        <w:spacing w:after="89"/>
        <w:ind w:left="720"/>
        <w:jc w:val="both"/>
      </w:pPr>
    </w:p>
    <w:p w:rsidR="00E40F9D" w:rsidRDefault="00C40940" w:rsidP="00196E67">
      <w:pPr>
        <w:pStyle w:val="Default"/>
        <w:numPr>
          <w:ilvl w:val="0"/>
          <w:numId w:val="2"/>
        </w:numPr>
        <w:spacing w:after="89"/>
        <w:jc w:val="both"/>
      </w:pPr>
      <w:r w:rsidRPr="00380203">
        <w:rPr>
          <w:b/>
        </w:rPr>
        <w:t>Otros gastos</w:t>
      </w:r>
      <w:r w:rsidRPr="006649E2">
        <w:t xml:space="preserve">: </w:t>
      </w:r>
    </w:p>
    <w:p w:rsidR="00C40940" w:rsidRPr="006649E2" w:rsidRDefault="00E40F9D" w:rsidP="00E40F9D">
      <w:pPr>
        <w:pStyle w:val="Default"/>
        <w:spacing w:after="89"/>
        <w:ind w:left="720"/>
        <w:jc w:val="both"/>
      </w:pPr>
      <w:r>
        <w:t>S</w:t>
      </w:r>
      <w:r w:rsidR="00C40940" w:rsidRPr="006649E2">
        <w:t>e pueden incluir pagos de inscripciones a Congreso/Seminarios, etc.</w:t>
      </w:r>
    </w:p>
    <w:p w:rsidR="00E1284C" w:rsidRPr="006649E2" w:rsidRDefault="00E1284C" w:rsidP="00196E67">
      <w:pPr>
        <w:pStyle w:val="ListParagraph"/>
        <w:jc w:val="both"/>
        <w:rPr>
          <w:sz w:val="24"/>
          <w:szCs w:val="24"/>
        </w:rPr>
      </w:pPr>
    </w:p>
    <w:p w:rsidR="00E1284C" w:rsidRPr="006649E2" w:rsidRDefault="00E1284C" w:rsidP="00196E67">
      <w:pPr>
        <w:pStyle w:val="Default"/>
        <w:jc w:val="both"/>
      </w:pPr>
      <w:r w:rsidRPr="006649E2">
        <w:rPr>
          <w:b/>
          <w:bCs/>
        </w:rPr>
        <w:t xml:space="preserve">Para la compra de bienes de capital </w:t>
      </w:r>
      <w:r w:rsidRPr="00380203">
        <w:rPr>
          <w:b/>
          <w:bCs/>
          <w:u w:val="single"/>
        </w:rPr>
        <w:t>siempre</w:t>
      </w:r>
      <w:r w:rsidRPr="006649E2">
        <w:rPr>
          <w:b/>
          <w:bCs/>
        </w:rPr>
        <w:t xml:space="preserve"> hay que pedir autorización. Los mismos incluyen: </w:t>
      </w:r>
    </w:p>
    <w:p w:rsidR="00E1284C" w:rsidRPr="006649E2" w:rsidRDefault="00E1284C" w:rsidP="00196E67">
      <w:pPr>
        <w:pStyle w:val="Default"/>
        <w:jc w:val="both"/>
      </w:pPr>
    </w:p>
    <w:p w:rsidR="00E1284C" w:rsidRPr="006649E2" w:rsidRDefault="00E1284C" w:rsidP="00196E67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380203">
        <w:rPr>
          <w:b/>
        </w:rPr>
        <w:t>Bibliografía</w:t>
      </w:r>
      <w:r w:rsidRPr="006649E2">
        <w:t>: Pueden ser compras nacionales e internacionales. También se consideran en este rubro las suscripciones a revistas científicas. La compra que se realice con tarjeta de crédito al exterior deberá adjuntarse copia del resumen de la tarjeta de crédito a fin de constatar el monto de la compra en pesos.</w:t>
      </w:r>
    </w:p>
    <w:p w:rsidR="00E1284C" w:rsidRPr="001D72DC" w:rsidRDefault="00E1284C" w:rsidP="00196E67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380203">
        <w:rPr>
          <w:b/>
        </w:rPr>
        <w:t>Equipamiento</w:t>
      </w:r>
      <w:r w:rsidRPr="006649E2">
        <w:t xml:space="preserve">: computadores, </w:t>
      </w:r>
      <w:r w:rsidR="00380203">
        <w:t xml:space="preserve">notebooks, cámaras fotográficas, filmadoras, </w:t>
      </w:r>
      <w:proofErr w:type="spellStart"/>
      <w:r w:rsidR="00380203">
        <w:t>scan</w:t>
      </w:r>
      <w:proofErr w:type="spellEnd"/>
      <w:r w:rsidR="00380203">
        <w:t xml:space="preserve">, impresoras, </w:t>
      </w:r>
      <w:r w:rsidRPr="006649E2">
        <w:t xml:space="preserve">software, licencias tecnológicas etc. </w:t>
      </w:r>
    </w:p>
    <w:p w:rsidR="001D72DC" w:rsidRDefault="001D72DC" w:rsidP="001D72DC">
      <w:pPr>
        <w:pStyle w:val="Default"/>
        <w:ind w:left="720"/>
        <w:jc w:val="both"/>
        <w:rPr>
          <w:b/>
        </w:rPr>
      </w:pPr>
      <w:r>
        <w:rPr>
          <w:b/>
        </w:rPr>
        <w:t>Para el caso de los PIP, el monto de equipamiento</w:t>
      </w:r>
      <w:r w:rsidR="002875AA">
        <w:rPr>
          <w:b/>
        </w:rPr>
        <w:t xml:space="preserve"> </w:t>
      </w:r>
      <w:r>
        <w:rPr>
          <w:b/>
        </w:rPr>
        <w:t>+</w:t>
      </w:r>
      <w:r w:rsidR="002875AA">
        <w:rPr>
          <w:b/>
        </w:rPr>
        <w:t xml:space="preserve"> </w:t>
      </w:r>
      <w:r>
        <w:rPr>
          <w:b/>
        </w:rPr>
        <w:t>bibliografía no puede superar el 35% del total del PROYECTO.</w:t>
      </w:r>
    </w:p>
    <w:p w:rsidR="001D72DC" w:rsidRPr="006649E2" w:rsidRDefault="001D72DC" w:rsidP="001D72DC">
      <w:pPr>
        <w:pStyle w:val="Default"/>
        <w:ind w:left="720"/>
        <w:jc w:val="both"/>
        <w:rPr>
          <w:rFonts w:ascii="Arial" w:hAnsi="Arial" w:cs="Arial"/>
        </w:rPr>
      </w:pPr>
      <w:r>
        <w:rPr>
          <w:b/>
        </w:rPr>
        <w:t>Para el caso de los PUE, el monto de equipamiento</w:t>
      </w:r>
      <w:r w:rsidR="002875AA">
        <w:rPr>
          <w:b/>
        </w:rPr>
        <w:t xml:space="preserve"> </w:t>
      </w:r>
      <w:r>
        <w:rPr>
          <w:b/>
        </w:rPr>
        <w:t>+</w:t>
      </w:r>
      <w:r w:rsidR="002875AA">
        <w:rPr>
          <w:b/>
        </w:rPr>
        <w:t xml:space="preserve"> </w:t>
      </w:r>
      <w:r>
        <w:rPr>
          <w:b/>
        </w:rPr>
        <w:t xml:space="preserve">bibliografía no puede superar el 20% del total del PUE. </w:t>
      </w:r>
    </w:p>
    <w:p w:rsidR="00E1284C" w:rsidRPr="006649E2" w:rsidRDefault="00E1284C" w:rsidP="00196E67">
      <w:pPr>
        <w:pStyle w:val="Default"/>
        <w:jc w:val="both"/>
      </w:pPr>
    </w:p>
    <w:p w:rsidR="00E1284C" w:rsidRPr="006649E2" w:rsidRDefault="00E1284C" w:rsidP="00196E67">
      <w:pPr>
        <w:pStyle w:val="Default"/>
        <w:jc w:val="both"/>
      </w:pPr>
      <w:r w:rsidRPr="006649E2">
        <w:t>Todos los bienes adquiridos con financiamiento de CONICET deberán ser dados de alta en el SIBI por los institutos al cierre de cada trimestre.</w:t>
      </w:r>
    </w:p>
    <w:p w:rsidR="00E1284C" w:rsidRPr="006649E2" w:rsidRDefault="00E1284C" w:rsidP="00196E67">
      <w:pPr>
        <w:pStyle w:val="Default"/>
        <w:jc w:val="both"/>
      </w:pPr>
    </w:p>
    <w:p w:rsidR="001450B2" w:rsidRPr="006649E2" w:rsidRDefault="001450B2" w:rsidP="00196E67">
      <w:pPr>
        <w:pStyle w:val="Default"/>
        <w:jc w:val="both"/>
        <w:rPr>
          <w:b/>
          <w:u w:val="single"/>
        </w:rPr>
      </w:pPr>
      <w:r w:rsidRPr="006649E2">
        <w:rPr>
          <w:b/>
          <w:u w:val="single"/>
        </w:rPr>
        <w:t>Requisitos de los comprobantes</w:t>
      </w:r>
    </w:p>
    <w:p w:rsidR="001450B2" w:rsidRPr="006649E2" w:rsidRDefault="001450B2" w:rsidP="00196E67">
      <w:pPr>
        <w:pStyle w:val="Default"/>
        <w:jc w:val="both"/>
        <w:rPr>
          <w:b/>
          <w:u w:val="single"/>
        </w:rPr>
      </w:pPr>
    </w:p>
    <w:p w:rsidR="00E1284C" w:rsidRPr="006649E2" w:rsidRDefault="00E1284C" w:rsidP="00196E67">
      <w:pPr>
        <w:pStyle w:val="Default"/>
        <w:jc w:val="both"/>
      </w:pPr>
      <w:r w:rsidRPr="006649E2">
        <w:t xml:space="preserve">Para que los comprobantes sean válidos deben contener: </w:t>
      </w:r>
    </w:p>
    <w:p w:rsidR="001450B2" w:rsidRPr="006649E2" w:rsidRDefault="00196E67" w:rsidP="00196E67">
      <w:pPr>
        <w:pStyle w:val="Default"/>
        <w:numPr>
          <w:ilvl w:val="0"/>
          <w:numId w:val="4"/>
        </w:numPr>
        <w:spacing w:after="45"/>
        <w:jc w:val="both"/>
      </w:pPr>
      <w:r>
        <w:t>Factura B/C.</w:t>
      </w:r>
    </w:p>
    <w:p w:rsidR="00E1284C" w:rsidRPr="006649E2" w:rsidRDefault="00E1284C" w:rsidP="00196E67">
      <w:pPr>
        <w:pStyle w:val="Default"/>
        <w:numPr>
          <w:ilvl w:val="0"/>
          <w:numId w:val="4"/>
        </w:numPr>
        <w:spacing w:after="45"/>
        <w:jc w:val="both"/>
      </w:pPr>
      <w:r w:rsidRPr="006649E2">
        <w:t>Nombre del Investigad</w:t>
      </w:r>
      <w:r w:rsidR="00922D9A">
        <w:t>or Responsable + número de PIP/PUE. Para el caso de los PUE  la factura debe ir siempre a nombre del Director de la UE.</w:t>
      </w:r>
    </w:p>
    <w:p w:rsidR="00E1284C" w:rsidRDefault="00E1284C" w:rsidP="00196E67">
      <w:pPr>
        <w:pStyle w:val="Default"/>
        <w:numPr>
          <w:ilvl w:val="0"/>
          <w:numId w:val="4"/>
        </w:numPr>
        <w:spacing w:after="45"/>
        <w:jc w:val="both"/>
      </w:pPr>
      <w:r w:rsidRPr="006649E2">
        <w:t xml:space="preserve">Firma del titular del subsidio. </w:t>
      </w:r>
    </w:p>
    <w:p w:rsidR="00196E67" w:rsidRPr="006649E2" w:rsidRDefault="00196E67" w:rsidP="00196E67">
      <w:pPr>
        <w:pStyle w:val="Default"/>
        <w:numPr>
          <w:ilvl w:val="0"/>
          <w:numId w:val="4"/>
        </w:numPr>
        <w:jc w:val="both"/>
      </w:pPr>
      <w:r w:rsidRPr="006649E2">
        <w:lastRenderedPageBreak/>
        <w:t>El comproban</w:t>
      </w:r>
      <w:r>
        <w:t xml:space="preserve">te debe ser válido ante la AFIP. </w:t>
      </w:r>
    </w:p>
    <w:p w:rsidR="00E1284C" w:rsidRPr="006649E2" w:rsidRDefault="00E1284C" w:rsidP="00196E67">
      <w:pPr>
        <w:pStyle w:val="Default"/>
        <w:spacing w:after="45"/>
        <w:jc w:val="both"/>
      </w:pPr>
      <w:r w:rsidRPr="006649E2">
        <w:t xml:space="preserve">Sólo se aceptan ticket en estas condiciones: Los tickets de hasta $10.00.- podrán presentarse aunque no estén emitidos a nombre del titular, pero tendrán que estar emitidos a nombre de “Consumidor Final”. En caso de tickets mayores a $10.00.- que no estén emitidos a nombre del Titular, por algún motivo especifico, se tendrá que adjuntar un Remito o Recibo, donde se detalle el nombre del Investigador. Esto suele pasar en las librerías. </w:t>
      </w:r>
    </w:p>
    <w:p w:rsidR="00E1284C" w:rsidRPr="006649E2" w:rsidRDefault="00E1284C" w:rsidP="00196E67">
      <w:pPr>
        <w:pStyle w:val="Default"/>
        <w:spacing w:after="45"/>
        <w:jc w:val="both"/>
      </w:pPr>
      <w:r w:rsidRPr="006649E2">
        <w:t xml:space="preserve">En el caso de profesionales inscriptos en el régimen de </w:t>
      </w:r>
      <w:proofErr w:type="spellStart"/>
      <w:r w:rsidRPr="006649E2">
        <w:t>monotributo</w:t>
      </w:r>
      <w:proofErr w:type="spellEnd"/>
      <w:r w:rsidRPr="006649E2">
        <w:t xml:space="preserve"> se aceptan recibos B o C y estar al día con el pago del </w:t>
      </w:r>
      <w:proofErr w:type="spellStart"/>
      <w:r w:rsidRPr="006649E2">
        <w:t>monotributo</w:t>
      </w:r>
      <w:proofErr w:type="spellEnd"/>
      <w:r w:rsidRPr="006649E2">
        <w:t xml:space="preserve">. </w:t>
      </w:r>
    </w:p>
    <w:p w:rsidR="00196E67" w:rsidRPr="006649E2" w:rsidRDefault="00196E67">
      <w:pPr>
        <w:pStyle w:val="Default"/>
        <w:jc w:val="both"/>
      </w:pPr>
    </w:p>
    <w:sectPr w:rsidR="00196E67" w:rsidRPr="006649E2" w:rsidSect="006A7ED4">
      <w:headerReference w:type="default" r:id="rId8"/>
      <w:footerReference w:type="default" r:id="rId9"/>
      <w:pgSz w:w="11907" w:h="17339"/>
      <w:pgMar w:top="1220" w:right="1114" w:bottom="657" w:left="14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C5" w:rsidRDefault="005027C5" w:rsidP="005A430C">
      <w:pPr>
        <w:spacing w:after="0" w:line="240" w:lineRule="auto"/>
      </w:pPr>
      <w:r>
        <w:separator/>
      </w:r>
    </w:p>
  </w:endnote>
  <w:endnote w:type="continuationSeparator" w:id="0">
    <w:p w:rsidR="005027C5" w:rsidRDefault="005027C5" w:rsidP="005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30C" w:rsidRDefault="005A430C" w:rsidP="005A430C">
    <w:pPr>
      <w:pStyle w:val="Foot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O</w:t>
    </w:r>
    <w:r w:rsidRPr="00210B22">
      <w:rPr>
        <w:rFonts w:ascii="Arial" w:hAnsi="Arial"/>
        <w:b/>
        <w:sz w:val="20"/>
      </w:rPr>
      <w:t>ficina de Coordinación Administrativa Saavedra 15</w:t>
    </w:r>
  </w:p>
  <w:p w:rsidR="005A430C" w:rsidRDefault="005027C5" w:rsidP="005A430C">
    <w:pPr>
      <w:pStyle w:val="Footer"/>
      <w:jc w:val="center"/>
      <w:rPr>
        <w:rFonts w:ascii="Arial" w:hAnsi="Arial"/>
        <w:b/>
        <w:sz w:val="20"/>
      </w:rPr>
    </w:pPr>
    <w:hyperlink r:id="rId1" w:history="1">
      <w:r w:rsidR="005A430C" w:rsidRPr="002B73FE">
        <w:rPr>
          <w:rStyle w:val="Hyperlink"/>
          <w:rFonts w:ascii="Arial" w:hAnsi="Arial"/>
          <w:b/>
          <w:sz w:val="20"/>
        </w:rPr>
        <w:t>http://www.saavedra15-conicet.gov.ar</w:t>
      </w:r>
    </w:hyperlink>
    <w:r w:rsidR="005A430C">
      <w:t xml:space="preserve"> </w:t>
    </w:r>
    <w:r w:rsidR="005A430C" w:rsidRPr="00186E77">
      <w:rPr>
        <w:rFonts w:ascii="Arial" w:hAnsi="Arial"/>
        <w:sz w:val="20"/>
      </w:rPr>
      <w:t>4951</w:t>
    </w:r>
    <w:r w:rsidR="005A430C">
      <w:rPr>
        <w:rFonts w:ascii="Arial" w:hAnsi="Arial"/>
        <w:sz w:val="20"/>
      </w:rPr>
      <w:t>-</w:t>
    </w:r>
    <w:r w:rsidR="005A430C" w:rsidRPr="00186E77">
      <w:rPr>
        <w:rFonts w:ascii="Arial" w:hAnsi="Arial"/>
        <w:sz w:val="20"/>
      </w:rPr>
      <w:t xml:space="preserve">7445 </w:t>
    </w:r>
    <w:r w:rsidR="005A430C">
      <w:rPr>
        <w:rFonts w:ascii="Arial" w:hAnsi="Arial"/>
        <w:b/>
        <w:sz w:val="20"/>
      </w:rPr>
      <w:t xml:space="preserve"> </w:t>
    </w:r>
  </w:p>
  <w:p w:rsidR="005A430C" w:rsidRPr="00210B22" w:rsidRDefault="005A430C" w:rsidP="005A430C">
    <w:pPr>
      <w:pStyle w:val="Footer"/>
      <w:jc w:val="center"/>
      <w:rPr>
        <w:rFonts w:ascii="Arial" w:hAnsi="Arial"/>
        <w:sz w:val="20"/>
      </w:rPr>
    </w:pPr>
    <w:r w:rsidRPr="00210B22">
      <w:rPr>
        <w:rFonts w:ascii="Arial" w:hAnsi="Arial"/>
        <w:sz w:val="20"/>
      </w:rPr>
      <w:t>Saavedra 15 PB C1083ACA C</w:t>
    </w:r>
    <w:r>
      <w:rPr>
        <w:rFonts w:ascii="Arial" w:hAnsi="Arial"/>
        <w:sz w:val="20"/>
      </w:rPr>
      <w:t>ABA</w:t>
    </w:r>
  </w:p>
  <w:p w:rsidR="005A430C" w:rsidRPr="00A6192A" w:rsidRDefault="005A430C" w:rsidP="005A430C">
    <w:pPr>
      <w:pStyle w:val="Footer"/>
      <w:jc w:val="center"/>
      <w:rPr>
        <w:rFonts w:ascii="Arial" w:hAnsi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C5" w:rsidRDefault="005027C5" w:rsidP="005A430C">
      <w:pPr>
        <w:spacing w:after="0" w:line="240" w:lineRule="auto"/>
      </w:pPr>
      <w:r>
        <w:separator/>
      </w:r>
    </w:p>
  </w:footnote>
  <w:footnote w:type="continuationSeparator" w:id="0">
    <w:p w:rsidR="005027C5" w:rsidRDefault="005027C5" w:rsidP="005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30C" w:rsidRDefault="005A430C" w:rsidP="005A430C">
    <w:pPr>
      <w:pStyle w:val="Header"/>
      <w:tabs>
        <w:tab w:val="center" w:pos="7920"/>
      </w:tabs>
      <w:ind w:right="-81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“2020 – Año del General Manuel Belgrano”.</w:t>
    </w:r>
  </w:p>
  <w:p w:rsidR="005A430C" w:rsidRDefault="005A430C" w:rsidP="005A430C">
    <w:pPr>
      <w:pStyle w:val="Header"/>
      <w:tabs>
        <w:tab w:val="center" w:pos="7920"/>
      </w:tabs>
      <w:ind w:right="-81"/>
      <w:jc w:val="right"/>
    </w:pPr>
  </w:p>
  <w:p w:rsidR="005A430C" w:rsidRDefault="005A430C" w:rsidP="005A430C">
    <w:pPr>
      <w:jc w:val="both"/>
    </w:pPr>
    <w:r>
      <w:t xml:space="preserve">                                                               </w:t>
    </w:r>
    <w:r w:rsidRPr="00B55288">
      <w:rPr>
        <w:noProof/>
        <w:lang w:eastAsia="es-AR"/>
      </w:rPr>
      <w:drawing>
        <wp:inline distT="0" distB="0" distL="0" distR="0" wp14:anchorId="53FA616D" wp14:editId="477887DC">
          <wp:extent cx="1295400" cy="857250"/>
          <wp:effectExtent l="19050" t="0" r="0" b="0"/>
          <wp:docPr id="3" name="Imagen 1" descr="Descripción: Sin títu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Sin título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B5FFE"/>
    <w:multiLevelType w:val="hybridMultilevel"/>
    <w:tmpl w:val="70BEB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43076"/>
    <w:multiLevelType w:val="hybridMultilevel"/>
    <w:tmpl w:val="9C56F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72C1A"/>
    <w:multiLevelType w:val="hybridMultilevel"/>
    <w:tmpl w:val="B9AA6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85578"/>
    <w:multiLevelType w:val="hybridMultilevel"/>
    <w:tmpl w:val="55807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4C"/>
    <w:rsid w:val="001450B2"/>
    <w:rsid w:val="00196E67"/>
    <w:rsid w:val="001D72DC"/>
    <w:rsid w:val="002875AA"/>
    <w:rsid w:val="002F0C42"/>
    <w:rsid w:val="00380203"/>
    <w:rsid w:val="005027C5"/>
    <w:rsid w:val="005A430C"/>
    <w:rsid w:val="00610536"/>
    <w:rsid w:val="00657291"/>
    <w:rsid w:val="006649E2"/>
    <w:rsid w:val="007178A6"/>
    <w:rsid w:val="00922D9A"/>
    <w:rsid w:val="00AC1891"/>
    <w:rsid w:val="00C40940"/>
    <w:rsid w:val="00E1284C"/>
    <w:rsid w:val="00E40F9D"/>
    <w:rsid w:val="00E8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DD3D0-C779-4712-AE6A-AC4AAC92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2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84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A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430C"/>
  </w:style>
  <w:style w:type="paragraph" w:styleId="Footer">
    <w:name w:val="footer"/>
    <w:basedOn w:val="Normal"/>
    <w:link w:val="FooterChar"/>
    <w:unhideWhenUsed/>
    <w:rsid w:val="005A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430C"/>
  </w:style>
  <w:style w:type="character" w:styleId="Hyperlink">
    <w:name w:val="Hyperlink"/>
    <w:basedOn w:val="DefaultParagraphFont"/>
    <w:uiPriority w:val="99"/>
    <w:unhideWhenUsed/>
    <w:rsid w:val="005A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avedra15-conicet.gov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2DB4.30D3AE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6FDC-5577-4C4D-BED7-200F0BE4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2020-08-28T16:23:00Z</dcterms:created>
  <dcterms:modified xsi:type="dcterms:W3CDTF">2020-08-28T18:38:00Z</dcterms:modified>
</cp:coreProperties>
</file>